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r>
        <w:rPr>
          <w:rFonts w:hint="eastAsia" w:ascii="方正小标宋简体" w:hAnsi="宋体" w:eastAsia="方正小标宋简体"/>
          <w:color w:val="FF3300"/>
          <w:sz w:val="96"/>
          <w:szCs w:val="32"/>
        </w:rPr>
        <w:t>托克逊县财政局文件</w:t>
      </w: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托财社〔202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28</w:t>
      </w:r>
      <w:r>
        <w:rPr>
          <w:rFonts w:hint="eastAsia" w:ascii="仿宋_GB2312" w:hAnsi="仿宋_GB2312" w:eastAsia="仿宋_GB2312" w:cs="仿宋_GB2312"/>
          <w:sz w:val="32"/>
        </w:rPr>
        <w:t xml:space="preserve">号                 </w:t>
      </w:r>
    </w:p>
    <w:p>
      <w:pPr>
        <w:spacing w:line="600" w:lineRule="exact"/>
        <w:jc w:val="center"/>
        <w:rPr>
          <w:rFonts w:hint="eastAsia" w:ascii="方正小标宋_GBK" w:eastAsia="方正小标宋_GBK"/>
          <w:sz w:val="44"/>
          <w:szCs w:val="40"/>
          <w:lang w:val="en-US" w:eastAsia="zh-CN"/>
        </w:rPr>
      </w:pPr>
      <w:r>
        <w:rPr>
          <w:rFonts w:hint="eastAsia" w:ascii="仿宋_GB2312" w:hAnsi="仿宋_GB2312" w:eastAsia="仿宋_GB2312" w:cs="仿宋_GB2312"/>
          <w:color w:val="FF5050"/>
          <w:sz w:val="32"/>
        </w:rPr>
        <w:t>━━━━━━━━━━━━━━━━━━━━━━━━━━━</w:t>
      </w:r>
      <w:r>
        <w:rPr>
          <w:rFonts w:hint="eastAsia" w:ascii="仿宋_GB2312" w:hAnsi="仿宋_GB2312" w:eastAsia="仿宋_GB2312" w:cs="仿宋_GB2312"/>
          <w:b/>
          <w:color w:val="000000"/>
          <w:sz w:val="44"/>
          <w:szCs w:val="44"/>
        </w:rPr>
        <w:t xml:space="preserve">  </w:t>
      </w:r>
      <w:r>
        <w:rPr>
          <w:rFonts w:hint="eastAsia" w:ascii="方正小标宋_GBK" w:eastAsia="方正小标宋_GBK"/>
          <w:sz w:val="44"/>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vanish w:val="0"/>
          <w:sz w:val="44"/>
          <w:szCs w:val="44"/>
          <w:lang w:eastAsia="zh-CN"/>
        </w:rPr>
      </w:pPr>
      <w:r>
        <w:rPr>
          <w:rFonts w:hint="eastAsia" w:ascii="方正小标宋简体" w:hAnsi="方正小标宋简体" w:eastAsia="方正小标宋简体" w:cs="方正小标宋简体"/>
          <w:vanish w:val="0"/>
          <w:sz w:val="44"/>
          <w:szCs w:val="44"/>
          <w:lang w:eastAsia="zh-CN"/>
        </w:rPr>
        <w:t>关于下达2025年中央财政残疾人事业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pacing w:val="-6"/>
          <w:sz w:val="32"/>
          <w:szCs w:val="32"/>
        </w:rPr>
      </w:pPr>
      <w:r>
        <w:rPr>
          <w:rFonts w:hint="eastAsia" w:ascii="方正小标宋简体" w:hAnsi="方正小标宋简体" w:eastAsia="方正小标宋简体" w:cs="方正小标宋简体"/>
          <w:vanish w:val="0"/>
          <w:sz w:val="44"/>
          <w:szCs w:val="44"/>
          <w:lang w:eastAsia="zh-CN"/>
        </w:rPr>
        <w:t>发展补助资金</w:t>
      </w:r>
      <w:r>
        <w:rPr>
          <w:rFonts w:hint="eastAsia" w:ascii="方正小标宋简体" w:eastAsia="方正小标宋简体"/>
          <w:sz w:val="44"/>
          <w:szCs w:val="40"/>
          <w:lang w:eastAsia="zh-CN"/>
        </w:rPr>
        <w:t>（</w:t>
      </w:r>
      <w:r>
        <w:rPr>
          <w:rFonts w:hint="eastAsia" w:ascii="方正小标宋简体" w:eastAsia="方正小标宋简体"/>
          <w:sz w:val="44"/>
          <w:szCs w:val="40"/>
          <w:lang w:val="en-US" w:eastAsia="zh-CN"/>
        </w:rPr>
        <w:t>第二批）</w:t>
      </w:r>
      <w:r>
        <w:rPr>
          <w:rFonts w:hint="eastAsia" w:ascii="方正小标宋简体" w:hAnsi="方正小标宋简体" w:eastAsia="方正小标宋简体" w:cs="方正小标宋简体"/>
          <w:vanish w:val="0"/>
          <w:sz w:val="44"/>
          <w:szCs w:val="44"/>
          <w:lang w:eastAsia="zh-CN"/>
        </w:rPr>
        <w:t>预算的通知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县</w:t>
      </w:r>
      <w:r>
        <w:rPr>
          <w:rFonts w:hint="eastAsia" w:ascii="仿宋_GB2312" w:hAnsi="仿宋_GB2312" w:eastAsia="仿宋_GB2312" w:cs="仿宋_GB2312"/>
          <w:spacing w:val="-6"/>
          <w:sz w:val="32"/>
          <w:szCs w:val="32"/>
          <w:lang w:val="en-US" w:eastAsia="zh-CN"/>
        </w:rPr>
        <w:t>残疾人联合会</w:t>
      </w:r>
      <w:r>
        <w:rPr>
          <w:rFonts w:hint="eastAsia" w:ascii="仿宋_GB2312" w:hAnsi="仿宋_GB2312" w:eastAsia="仿宋_GB2312" w:cs="仿宋_GB2312"/>
          <w:spacing w:val="-6"/>
          <w:sz w:val="32"/>
          <w:szCs w:val="32"/>
        </w:rPr>
        <w:t>：</w:t>
      </w:r>
    </w:p>
    <w:p>
      <w:pPr>
        <w:keepNext w:val="0"/>
        <w:keepLines w:val="0"/>
        <w:widowControl w:val="0"/>
        <w:suppressLineNumbers w:val="0"/>
        <w:spacing w:before="0" w:beforeAutospacing="0" w:after="0" w:afterAutospacing="0" w:line="600" w:lineRule="exact"/>
        <w:ind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根据吐鲁番市财政局《关于下达2025年中央财政残疾人事业发展补助资金预算的通知》（</w:t>
      </w:r>
      <w:r>
        <w:rPr>
          <w:rFonts w:hint="eastAsia" w:ascii="仿宋_GB2312" w:eastAsia="仿宋_GB2312"/>
          <w:vanish w:val="0"/>
          <w:sz w:val="32"/>
          <w:szCs w:val="32"/>
          <w:lang w:val="en-US" w:eastAsia="zh-CN"/>
        </w:rPr>
        <w:t>吐市</w:t>
      </w:r>
      <w:r>
        <w:rPr>
          <w:rFonts w:hint="default" w:ascii="仿宋_GB2312" w:eastAsia="仿宋_GB2312"/>
          <w:vanish w:val="0"/>
          <w:sz w:val="32"/>
          <w:szCs w:val="32"/>
          <w:lang w:eastAsia="zh-CN"/>
        </w:rPr>
        <w:t>财社〔202</w:t>
      </w:r>
      <w:r>
        <w:rPr>
          <w:rFonts w:hint="eastAsia" w:ascii="仿宋_GB2312" w:eastAsia="仿宋_GB2312"/>
          <w:vanish w:val="0"/>
          <w:sz w:val="32"/>
          <w:szCs w:val="32"/>
          <w:lang w:val="en-US" w:eastAsia="zh-CN"/>
        </w:rPr>
        <w:t>5</w:t>
      </w:r>
      <w:r>
        <w:rPr>
          <w:rFonts w:hint="default" w:ascii="仿宋_GB2312" w:eastAsia="仿宋_GB2312"/>
          <w:vanish w:val="0"/>
          <w:sz w:val="32"/>
          <w:szCs w:val="32"/>
          <w:lang w:eastAsia="zh-CN"/>
        </w:rPr>
        <w:t>〕</w:t>
      </w:r>
      <w:r>
        <w:rPr>
          <w:rFonts w:hint="eastAsia" w:ascii="仿宋_GB2312" w:eastAsia="仿宋_GB2312"/>
          <w:vanish w:val="0"/>
          <w:sz w:val="32"/>
          <w:szCs w:val="32"/>
          <w:lang w:val="en-US" w:eastAsia="zh-CN"/>
        </w:rPr>
        <w:t>14</w:t>
      </w:r>
      <w:r>
        <w:rPr>
          <w:rFonts w:hint="default" w:ascii="仿宋_GB2312" w:eastAsia="仿宋_GB2312"/>
          <w:vanish w:val="0"/>
          <w:sz w:val="32"/>
          <w:szCs w:val="32"/>
          <w:lang w:eastAsia="zh-CN"/>
        </w:rPr>
        <w:t>号</w:t>
      </w:r>
      <w:r>
        <w:rPr>
          <w:rFonts w:hint="eastAsia" w:ascii="仿宋_GB2312" w:hAnsi="Calibri" w:eastAsia="仿宋_GB2312" w:cs="仿宋_GB2312"/>
          <w:kern w:val="2"/>
          <w:sz w:val="32"/>
          <w:szCs w:val="32"/>
          <w:lang w:val="en-US" w:eastAsia="zh-CN" w:bidi="ar"/>
        </w:rPr>
        <w:t>）文件精神，现下达你单位2025年中央财政残疾人事业发展补助资金</w:t>
      </w:r>
      <w:r>
        <w:rPr>
          <w:rFonts w:hint="eastAsia" w:ascii="仿宋_GB2312" w:hAnsi="Calibri" w:eastAsia="仿宋_GB2312" w:cs="仿宋_GB2312"/>
          <w:b/>
          <w:bCs/>
          <w:kern w:val="2"/>
          <w:sz w:val="32"/>
          <w:szCs w:val="32"/>
          <w:lang w:val="en-US" w:eastAsia="zh-CN" w:bidi="ar"/>
        </w:rPr>
        <w:t>41.516万元</w:t>
      </w:r>
      <w:r>
        <w:rPr>
          <w:rFonts w:hint="eastAsia" w:ascii="仿宋_GB2312" w:hAnsi="Calibri" w:eastAsia="仿宋_GB2312" w:cs="仿宋_GB2312"/>
          <w:kern w:val="2"/>
          <w:sz w:val="32"/>
          <w:szCs w:val="32"/>
          <w:lang w:val="en-US" w:eastAsia="zh-CN" w:bidi="ar"/>
        </w:rPr>
        <w:t>（中央专项彩票公益金支持残疾人事业发展补助资金41.516万元），并将有关事宜通知如下：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rPr>
        <w:t>一、此次</w:t>
      </w:r>
      <w:r>
        <w:rPr>
          <w:rFonts w:hint="eastAsia" w:ascii="仿宋_GB2312" w:eastAsia="仿宋_GB2312"/>
          <w:sz w:val="32"/>
          <w:szCs w:val="32"/>
          <w:lang w:val="en-US" w:eastAsia="zh-CN"/>
        </w:rPr>
        <w:t>下达的中央财政补助资金预算</w:t>
      </w:r>
      <w:r>
        <w:rPr>
          <w:rFonts w:hint="eastAsia" w:ascii="仿宋_GB2312" w:eastAsia="仿宋_GB2312"/>
          <w:sz w:val="32"/>
          <w:szCs w:val="32"/>
        </w:rPr>
        <w:t>，</w:t>
      </w:r>
      <w:r>
        <w:rPr>
          <w:rFonts w:hint="eastAsia" w:ascii="仿宋_GB2312" w:eastAsia="仿宋_GB2312"/>
          <w:sz w:val="32"/>
          <w:szCs w:val="32"/>
          <w:lang w:val="en-US" w:eastAsia="zh-CN"/>
        </w:rPr>
        <w:t>一般公共预算资金</w:t>
      </w:r>
      <w:r>
        <w:rPr>
          <w:rFonts w:hint="eastAsia" w:ascii="仿宋_GB2312" w:eastAsia="仿宋_GB2312"/>
          <w:sz w:val="32"/>
          <w:szCs w:val="32"/>
        </w:rPr>
        <w:t>收入列202</w:t>
      </w:r>
      <w:r>
        <w:rPr>
          <w:rFonts w:hint="eastAsia" w:ascii="仿宋_GB2312" w:eastAsia="仿宋_GB2312"/>
          <w:sz w:val="32"/>
          <w:szCs w:val="32"/>
          <w:lang w:val="en-US" w:eastAsia="zh-CN"/>
        </w:rPr>
        <w:t>5</w:t>
      </w:r>
      <w:r>
        <w:rPr>
          <w:rFonts w:hint="eastAsia" w:ascii="仿宋_GB2312" w:eastAsia="仿宋_GB2312"/>
          <w:sz w:val="32"/>
          <w:szCs w:val="32"/>
        </w:rPr>
        <w:t>年政府收支分类科目中的一般公共预算资金收支分类科目“1100248社会保障和就业共同财政事权转移支付收入”，支出列“20811</w:t>
      </w:r>
      <w:r>
        <w:rPr>
          <w:rFonts w:hint="eastAsia" w:ascii="仿宋_GB2312" w:eastAsia="仿宋_GB2312"/>
          <w:sz w:val="32"/>
          <w:szCs w:val="32"/>
          <w:lang w:val="en-US" w:eastAsia="zh-CN"/>
        </w:rPr>
        <w:t xml:space="preserve"> </w:t>
      </w:r>
      <w:r>
        <w:rPr>
          <w:rFonts w:hint="eastAsia" w:ascii="仿宋_GB2312" w:eastAsia="仿宋_GB2312"/>
          <w:sz w:val="32"/>
          <w:szCs w:val="32"/>
        </w:rPr>
        <w:t>残疾人事业”下各相关科目，必须根据实际支出方向将支出功能科目明确至项级科目（可在预算管理一体化系统中对自治区下达的项级科目按照实际进行调整）。补助资金</w:t>
      </w:r>
      <w:r>
        <w:rPr>
          <w:rFonts w:hint="eastAsia" w:ascii="仿宋_GB2312" w:eastAsia="仿宋_GB2312"/>
          <w:sz w:val="32"/>
          <w:szCs w:val="32"/>
          <w:lang w:val="en-US" w:eastAsia="zh-CN"/>
        </w:rPr>
        <w:t>统筹</w:t>
      </w:r>
      <w:r>
        <w:rPr>
          <w:rFonts w:hint="eastAsia" w:ascii="仿宋_GB2312" w:eastAsia="仿宋_GB2312"/>
          <w:sz w:val="32"/>
          <w:szCs w:val="32"/>
        </w:rPr>
        <w:t>用于7岁以上残疾人康复、农村困难残疾人实用技术培训、</w:t>
      </w:r>
      <w:r>
        <w:rPr>
          <w:rFonts w:hint="eastAsia" w:ascii="仿宋_GB2312" w:eastAsia="仿宋_GB2312"/>
          <w:sz w:val="32"/>
          <w:szCs w:val="32"/>
          <w:lang w:val="en-US" w:eastAsia="zh-CN"/>
        </w:rPr>
        <w:t>阳光家园计划-智力、精神和重度肢体残疾人托养服务等方面支出。中央专项彩票公益金支持残疾人事业发展补助资金</w:t>
      </w:r>
      <w:r>
        <w:rPr>
          <w:rFonts w:hint="eastAsia" w:ascii="仿宋_GB2312" w:eastAsia="仿宋_GB2312"/>
          <w:sz w:val="32"/>
          <w:szCs w:val="32"/>
        </w:rPr>
        <w:t>收入列202</w:t>
      </w:r>
      <w:r>
        <w:rPr>
          <w:rFonts w:hint="eastAsia" w:ascii="仿宋_GB2312" w:eastAsia="仿宋_GB2312"/>
          <w:sz w:val="32"/>
          <w:szCs w:val="32"/>
          <w:lang w:val="en-US" w:eastAsia="zh-CN"/>
        </w:rPr>
        <w:t>5</w:t>
      </w:r>
      <w:r>
        <w:rPr>
          <w:rFonts w:hint="eastAsia" w:ascii="仿宋_GB2312" w:eastAsia="仿宋_GB2312"/>
          <w:sz w:val="32"/>
          <w:szCs w:val="32"/>
        </w:rPr>
        <w:t>年政府收支分类科目中的政府性基金预算收入分类科目“11004</w:t>
      </w:r>
      <w:r>
        <w:rPr>
          <w:rFonts w:hint="eastAsia" w:ascii="仿宋_GB2312" w:eastAsia="仿宋_GB2312"/>
          <w:sz w:val="32"/>
          <w:szCs w:val="32"/>
          <w:lang w:val="en-US" w:eastAsia="zh-CN"/>
        </w:rPr>
        <w:t>99 其他收入</w:t>
      </w:r>
      <w:r>
        <w:rPr>
          <w:rFonts w:hint="eastAsia" w:ascii="仿宋_GB2312" w:eastAsia="仿宋_GB2312"/>
          <w:sz w:val="32"/>
          <w:szCs w:val="32"/>
        </w:rPr>
        <w:t>”，支出列“2296006用于残疾人事业的彩票公益金支出”，补助资金用于0-6岁残疾儿童康复救助及早期干预试点、</w:t>
      </w:r>
      <w:r>
        <w:rPr>
          <w:rFonts w:hint="eastAsia" w:ascii="仿宋_GB2312" w:eastAsia="仿宋_GB2312"/>
          <w:sz w:val="32"/>
          <w:szCs w:val="32"/>
          <w:lang w:val="en-US" w:eastAsia="zh-CN"/>
        </w:rPr>
        <w:t>困难重度残疾人家庭无障碍改造、困难智力精神和重度残疾人残疾评定补贴、残疾人文化服务、残疾人康复和托养机构设备补助等方面支出。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补助资金主要用于7岁以上残疾人康复、农村困难残疾人实用技术培训、阳光家园计划—智力、精神和重度肢体残疾人托养服务等方面支出。中央专项彩票公益金支持残疾人事业发展补助资金收入列2025年政府收支分类科目中的政府性基金预算收支分类科目“1100499其他收入”，支出列“2296006用于残疾人事业的彩票公益金支出”，补助资金主要用于0—6岁残疾儿童康复救助及早期干预试点、困难重度残疾人家庭无障碍改造、困难智力精神和重度残疾人评定补贴、残疾人文化服务、残疾人康复和托养机构设备补助等方面支出。自治区本级留用资金支出功能分类科目详见附件</w:t>
      </w:r>
      <w:r>
        <w:rPr>
          <w:rFonts w:hint="default" w:ascii="仿宋_GB2312" w:eastAsia="仿宋_GB2312"/>
          <w:sz w:val="32"/>
          <w:szCs w:val="32"/>
          <w:lang w:val="en-US" w:eastAsia="zh-CN"/>
        </w:rPr>
        <w:t>3</w:t>
      </w:r>
      <w:r>
        <w:rPr>
          <w:rFonts w:hint="eastAsia" w:ascii="仿宋_GB2312" w:eastAsia="仿宋_GB2312"/>
          <w:sz w:val="32"/>
          <w:szCs w:val="32"/>
          <w:lang w:val="en-US" w:eastAsia="zh-CN"/>
        </w:rPr>
        <w:t>，上述资金预算待2025年预算年度开始后，按程序申请使用。</w:t>
      </w:r>
    </w:p>
    <w:p>
      <w:pPr>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三、此次下达的一般公共预算补助资金列入转移支付预算执行常态化监督范围，财政部门要在预算管理一体化系统及时接收登录预算指标，并保持“追踪”标识不变，依托预算管理一体化系统转移支付监控模块，加强日常监督，提高转移支付资金管理使用的规范性和有效性。</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四</w:t>
      </w:r>
      <w:r>
        <w:rPr>
          <w:rFonts w:hint="eastAsia" w:ascii="仿宋_GB2312" w:eastAsia="仿宋_GB2312"/>
          <w:sz w:val="32"/>
          <w:szCs w:val="32"/>
        </w:rPr>
        <w:t>、</w:t>
      </w:r>
      <w:r>
        <w:rPr>
          <w:rFonts w:hint="eastAsia" w:ascii="仿宋_GB2312" w:eastAsia="仿宋_GB2312"/>
          <w:sz w:val="32"/>
          <w:szCs w:val="32"/>
          <w:lang w:val="en-US" w:eastAsia="zh-CN"/>
        </w:rPr>
        <w:t>为进一步加强预算绩效管理，切实提高财政资金使用效益，请按照《关于印发&lt;自治区本级部门预算绩效目标管理暂行办法&gt;的通知》（新财预</w:t>
      </w:r>
      <w:r>
        <w:rPr>
          <w:rFonts w:hint="eastAsia" w:ascii="仿宋_GB2312" w:eastAsia="仿宋_GB2312"/>
          <w:sz w:val="32"/>
          <w:szCs w:val="32"/>
        </w:rPr>
        <w:t>〔20</w:t>
      </w:r>
      <w:r>
        <w:rPr>
          <w:rFonts w:hint="eastAsia" w:ascii="仿宋_GB2312" w:eastAsia="仿宋_GB2312"/>
          <w:sz w:val="32"/>
          <w:szCs w:val="32"/>
          <w:lang w:val="en-US" w:eastAsia="zh-CN"/>
        </w:rPr>
        <w:t>18</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号</w:t>
      </w:r>
      <w:r>
        <w:rPr>
          <w:rFonts w:hint="eastAsia" w:ascii="仿宋_GB2312" w:eastAsia="仿宋_GB2312"/>
          <w:sz w:val="32"/>
          <w:szCs w:val="32"/>
          <w:lang w:val="en-US" w:eastAsia="zh-CN"/>
        </w:rPr>
        <w:t>）相关要求，对照绩效目标（详见附件3、4）做好绩效监控，确保年度绩效目标如期实现。自治区财政厅和自治区残联将继续加大对各地资金使用情况的绩效评价和绩效考核结果应用，对审计和督察检查中发现问题、绩效评价结果差、预算执行不到位、资金结余消化慢的地方，严格按照考核结果适当扣减预算安排。</w:t>
      </w:r>
    </w:p>
    <w:p>
      <w:pPr>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五、要加强资金使用监督管理，严格按规定范围、标准和程序使用资金，加快预算执行进度，提高资金使用的规范性、安全性和有效性。</w:t>
      </w:r>
    </w:p>
    <w:p>
      <w:pPr>
        <w:spacing w:line="560" w:lineRule="exact"/>
        <w:ind w:firstLine="640" w:firstLineChars="200"/>
        <w:jc w:val="left"/>
        <w:rPr>
          <w:rFonts w:hint="default" w:ascii="仿宋_GB2312" w:eastAsia="仿宋_GB2312"/>
          <w:sz w:val="32"/>
          <w:szCs w:val="32"/>
          <w:lang w:val="en-US" w:eastAsia="zh-CN"/>
        </w:rPr>
      </w:pPr>
      <w:bookmarkStart w:id="0" w:name="_GoBack"/>
      <w:bookmarkEnd w:id="0"/>
    </w:p>
    <w:p>
      <w:pPr>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附件：1.2025年中央财政残疾人事业发展补助资金分配表（一般公共预算）分配表</w:t>
      </w:r>
    </w:p>
    <w:p>
      <w:pPr>
        <w:spacing w:line="560" w:lineRule="exact"/>
        <w:ind w:firstLine="1600" w:firstLineChars="5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2.2025年中央财政残疾人事业发展补助资金分配表（中央专项彩票公益金）分配表</w:t>
      </w:r>
    </w:p>
    <w:p>
      <w:pPr>
        <w:spacing w:line="560" w:lineRule="exact"/>
        <w:ind w:firstLine="1600" w:firstLineChars="5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3.2025年中央财政残疾人事业发展补助资金绩效目标表（一般公共预算）</w:t>
      </w:r>
    </w:p>
    <w:p>
      <w:pPr>
        <w:spacing w:line="560" w:lineRule="exact"/>
        <w:ind w:firstLine="1600" w:firstLineChars="5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4.2025年中央财政残疾人事业发展补助资金绩效目标表（中央专项彩票公益金）</w:t>
      </w:r>
    </w:p>
    <w:p>
      <w:pPr>
        <w:spacing w:line="560" w:lineRule="exact"/>
        <w:ind w:firstLine="1600" w:firstLineChars="5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5.2025年中央财政残疾人事业发展补助资金项目留本级资金科目明细表</w:t>
      </w:r>
    </w:p>
    <w:p>
      <w:pPr>
        <w:pStyle w:val="14"/>
        <w:spacing w:line="600" w:lineRule="exact"/>
        <w:ind w:firstLine="4800" w:firstLineChars="1500"/>
        <w:rPr>
          <w:rFonts w:hint="eastAsia" w:ascii="仿宋_GB2312"/>
          <w:szCs w:val="32"/>
        </w:rPr>
      </w:pPr>
    </w:p>
    <w:p>
      <w:pPr>
        <w:pStyle w:val="14"/>
        <w:spacing w:line="600" w:lineRule="exact"/>
        <w:ind w:firstLine="4800" w:firstLineChars="1500"/>
        <w:rPr>
          <w:rFonts w:hint="eastAsia" w:ascii="仿宋_GB2312"/>
          <w:szCs w:val="32"/>
        </w:rPr>
      </w:pPr>
    </w:p>
    <w:p>
      <w:pPr>
        <w:pStyle w:val="14"/>
        <w:spacing w:line="600" w:lineRule="exact"/>
        <w:ind w:firstLine="5440" w:firstLineChars="1700"/>
        <w:rPr>
          <w:rFonts w:ascii="仿宋_GB2312"/>
          <w:szCs w:val="32"/>
        </w:rPr>
      </w:pPr>
      <w:r>
        <w:rPr>
          <w:rFonts w:hint="eastAsia" w:ascii="仿宋_GB2312"/>
          <w:szCs w:val="32"/>
        </w:rPr>
        <w:t xml:space="preserve"> </w:t>
      </w:r>
      <w:r>
        <w:rPr>
          <w:rFonts w:hint="eastAsia" w:ascii="仿宋_GB2312"/>
          <w:szCs w:val="32"/>
          <w:lang w:eastAsia="zh-CN"/>
        </w:rPr>
        <w:t>托克逊县</w:t>
      </w:r>
      <w:r>
        <w:rPr>
          <w:rFonts w:hint="eastAsia" w:ascii="仿宋_GB2312"/>
          <w:szCs w:val="32"/>
        </w:rPr>
        <w:t>财政局</w:t>
      </w:r>
    </w:p>
    <w:p>
      <w:pPr>
        <w:spacing w:line="600" w:lineRule="exact"/>
        <w:ind w:firstLine="5440" w:firstLineChars="1700"/>
        <w:rPr>
          <w:rFonts w:hint="eastAsia"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rPr>
          <w:rFonts w:hint="eastAsia"/>
          <w:lang w:val="en-US" w:eastAsia="zh-CN"/>
        </w:rPr>
      </w:pPr>
    </w:p>
    <w:sectPr>
      <w:footerReference r:id="rId3" w:type="default"/>
      <w:footerReference r:id="rId4" w:type="even"/>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691" w:y="12"/>
      <w:jc w:val="right"/>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Style w:val="10"/>
        <w:rFonts w:hint="eastAsia" w:ascii="宋体" w:hAnsi="宋体" w:eastAsia="宋体"/>
        <w:sz w:val="28"/>
      </w:rPr>
      <w:t xml:space="preserve"> </w:t>
    </w:r>
  </w:p>
  <w:p>
    <w:pPr>
      <w:pStyle w:val="4"/>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531" w:y="42"/>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- 2 -</w:t>
    </w:r>
    <w:r>
      <w:rPr>
        <w:rStyle w:val="10"/>
        <w:rFonts w:ascii="宋体" w:hAnsi="宋体" w:eastAsia="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hZmMwZjdjNWJmYjg1MTRiMTkxYjA0ZjJkYTQ2ZmMifQ=="/>
  </w:docVars>
  <w:rsids>
    <w:rsidRoot w:val="00DE6E87"/>
    <w:rsid w:val="004A0187"/>
    <w:rsid w:val="007C56AA"/>
    <w:rsid w:val="00A32598"/>
    <w:rsid w:val="00BE07BD"/>
    <w:rsid w:val="00CF6642"/>
    <w:rsid w:val="00D15AA3"/>
    <w:rsid w:val="00DE6E87"/>
    <w:rsid w:val="032928CD"/>
    <w:rsid w:val="035A00D1"/>
    <w:rsid w:val="05DE0C83"/>
    <w:rsid w:val="09CB12BA"/>
    <w:rsid w:val="0BD922AF"/>
    <w:rsid w:val="0CE53A5C"/>
    <w:rsid w:val="0F1E2C7E"/>
    <w:rsid w:val="10E02312"/>
    <w:rsid w:val="12D22C2E"/>
    <w:rsid w:val="1A6B3915"/>
    <w:rsid w:val="1BAE624C"/>
    <w:rsid w:val="1DB51187"/>
    <w:rsid w:val="1DD90704"/>
    <w:rsid w:val="204D5FF7"/>
    <w:rsid w:val="213A65DB"/>
    <w:rsid w:val="2304162B"/>
    <w:rsid w:val="2462191B"/>
    <w:rsid w:val="24D924D3"/>
    <w:rsid w:val="252F24AD"/>
    <w:rsid w:val="28354B48"/>
    <w:rsid w:val="2AC0335C"/>
    <w:rsid w:val="2AF44463"/>
    <w:rsid w:val="2B2D438B"/>
    <w:rsid w:val="2C27068E"/>
    <w:rsid w:val="2C3A02D3"/>
    <w:rsid w:val="2C447C6A"/>
    <w:rsid w:val="2EAF7165"/>
    <w:rsid w:val="32E12002"/>
    <w:rsid w:val="33B64D86"/>
    <w:rsid w:val="358B6F41"/>
    <w:rsid w:val="365C268B"/>
    <w:rsid w:val="37DF07A9"/>
    <w:rsid w:val="38693D35"/>
    <w:rsid w:val="3B950659"/>
    <w:rsid w:val="3C6814F1"/>
    <w:rsid w:val="3D5E47CC"/>
    <w:rsid w:val="3D793D76"/>
    <w:rsid w:val="3D8D35FC"/>
    <w:rsid w:val="3DFA698A"/>
    <w:rsid w:val="3ED95409"/>
    <w:rsid w:val="412117A5"/>
    <w:rsid w:val="413A6392"/>
    <w:rsid w:val="41BC78D5"/>
    <w:rsid w:val="41C60374"/>
    <w:rsid w:val="44077AEE"/>
    <w:rsid w:val="44EC16B2"/>
    <w:rsid w:val="45637592"/>
    <w:rsid w:val="4A5968FF"/>
    <w:rsid w:val="4A894B9B"/>
    <w:rsid w:val="4F62752E"/>
    <w:rsid w:val="50EC6257"/>
    <w:rsid w:val="52216AA6"/>
    <w:rsid w:val="56566B60"/>
    <w:rsid w:val="567E31E9"/>
    <w:rsid w:val="56A723E1"/>
    <w:rsid w:val="57140CFC"/>
    <w:rsid w:val="57B7008C"/>
    <w:rsid w:val="596A0EE1"/>
    <w:rsid w:val="5B726779"/>
    <w:rsid w:val="5C4C377E"/>
    <w:rsid w:val="5CCB64B5"/>
    <w:rsid w:val="5F526256"/>
    <w:rsid w:val="60987FCA"/>
    <w:rsid w:val="612C6885"/>
    <w:rsid w:val="61C26C35"/>
    <w:rsid w:val="61CD6413"/>
    <w:rsid w:val="63D3537B"/>
    <w:rsid w:val="64BB33A8"/>
    <w:rsid w:val="65426103"/>
    <w:rsid w:val="676B3BCF"/>
    <w:rsid w:val="678A6FF5"/>
    <w:rsid w:val="69E12C05"/>
    <w:rsid w:val="6AC63268"/>
    <w:rsid w:val="6CAC3B41"/>
    <w:rsid w:val="706C7406"/>
    <w:rsid w:val="77CB7B27"/>
    <w:rsid w:val="788D7EA7"/>
    <w:rsid w:val="79084BDC"/>
    <w:rsid w:val="7A69432C"/>
    <w:rsid w:val="7AA36728"/>
    <w:rsid w:val="7B2D3096"/>
    <w:rsid w:val="7BF5023D"/>
    <w:rsid w:val="7C5D78A3"/>
    <w:rsid w:val="7EF432A0"/>
    <w:rsid w:val="7F0F274D"/>
    <w:rsid w:val="7F3D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3">
    <w:name w:val="heading 6"/>
    <w:next w:val="1"/>
    <w:unhideWhenUsed/>
    <w:qFormat/>
    <w:uiPriority w:val="9"/>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Default"/>
    <w:basedOn w:val="1"/>
    <w:qFormat/>
    <w:uiPriority w:val="0"/>
    <w:pPr>
      <w:autoSpaceDE w:val="0"/>
      <w:autoSpaceDN w:val="0"/>
      <w:adjustRightInd w:val="0"/>
      <w:jc w:val="left"/>
    </w:pPr>
    <w:rPr>
      <w:rFonts w:cs="Times New Roman"/>
      <w:color w:val="000000"/>
      <w:sz w:val="24"/>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672</Words>
  <Characters>730</Characters>
  <Lines>8</Lines>
  <Paragraphs>2</Paragraphs>
  <TotalTime>4</TotalTime>
  <ScaleCrop>false</ScaleCrop>
  <LinksUpToDate>false</LinksUpToDate>
  <CharactersWithSpaces>781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2021-01-01T12:05:00Z</dcterms:created>
  <dc:creator>nyk1</dc:creator>
  <cp:lastModifiedBy>Administrator</cp:lastModifiedBy>
  <cp:lastPrinted>2025-08-01T02:31:16Z</cp:lastPrinted>
  <dcterms:modified xsi:type="dcterms:W3CDTF">2025-08-01T02:32:34Z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22EDCC55CE084E50A564E9C3EB7167D8</vt:lpwstr>
  </property>
</Properties>
</file>